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B74" w:rsidRDefault="005A7B74" w:rsidP="00EA274E">
      <w:r>
        <w:t>Замечания по материалам схем</w:t>
      </w:r>
      <w:r w:rsidR="00D77D8E">
        <w:t>ы</w:t>
      </w:r>
      <w:r>
        <w:t xml:space="preserve"> </w:t>
      </w:r>
      <w:r w:rsidR="004B708B">
        <w:t xml:space="preserve">теплоснабжения </w:t>
      </w:r>
      <w:r w:rsidR="00CA4F62">
        <w:t>Н.Новгорода</w:t>
      </w:r>
      <w:r w:rsidR="002D057E">
        <w:t xml:space="preserve"> </w:t>
      </w:r>
      <w:r w:rsidR="00A46967">
        <w:t>(актуализация на 202</w:t>
      </w:r>
      <w:r w:rsidR="00233D86">
        <w:t>5</w:t>
      </w:r>
      <w:r w:rsidR="009A5258">
        <w:t xml:space="preserve"> год)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0"/>
        <w:gridCol w:w="2355"/>
        <w:gridCol w:w="4536"/>
        <w:gridCol w:w="1971"/>
      </w:tblGrid>
      <w:tr w:rsidR="007338C9" w:rsidTr="0033034C">
        <w:tc>
          <w:tcPr>
            <w:tcW w:w="440" w:type="dxa"/>
          </w:tcPr>
          <w:p w:rsidR="005A7B74" w:rsidRPr="005A7B74" w:rsidRDefault="005A7B74" w:rsidP="005A7B74">
            <w:pPr>
              <w:rPr>
                <w:lang w:val="en-US"/>
              </w:rPr>
            </w:pPr>
            <w:r>
              <w:rPr>
                <w:lang w:val="en-US"/>
              </w:rPr>
              <w:t xml:space="preserve">N </w:t>
            </w:r>
          </w:p>
        </w:tc>
        <w:tc>
          <w:tcPr>
            <w:tcW w:w="2355" w:type="dxa"/>
          </w:tcPr>
          <w:p w:rsidR="005A7B74" w:rsidRDefault="005A7B74" w:rsidP="005A7B74">
            <w:r>
              <w:t>Раздел, пункт</w:t>
            </w:r>
          </w:p>
        </w:tc>
        <w:tc>
          <w:tcPr>
            <w:tcW w:w="4536" w:type="dxa"/>
          </w:tcPr>
          <w:p w:rsidR="005A7B74" w:rsidRDefault="005A7B74" w:rsidP="005A7B74">
            <w:r>
              <w:t>Суть предложения, замечание</w:t>
            </w:r>
          </w:p>
        </w:tc>
        <w:tc>
          <w:tcPr>
            <w:tcW w:w="1971" w:type="dxa"/>
          </w:tcPr>
          <w:p w:rsidR="005A7B74" w:rsidRDefault="005A7B74" w:rsidP="00893CD3">
            <w:pPr>
              <w:ind w:left="249" w:hanging="249"/>
            </w:pPr>
            <w:r>
              <w:t>Комментарии</w:t>
            </w:r>
          </w:p>
        </w:tc>
      </w:tr>
      <w:tr w:rsidR="007338C9" w:rsidTr="0033034C">
        <w:trPr>
          <w:trHeight w:val="411"/>
        </w:trPr>
        <w:tc>
          <w:tcPr>
            <w:tcW w:w="440" w:type="dxa"/>
          </w:tcPr>
          <w:p w:rsidR="0007587A" w:rsidRPr="005D732D" w:rsidRDefault="0095263D" w:rsidP="005A7B74">
            <w:pPr>
              <w:rPr>
                <w:rFonts w:ascii="Tahoma" w:hAnsi="Tahoma" w:cs="Tahoma"/>
                <w:sz w:val="20"/>
                <w:szCs w:val="20"/>
              </w:rPr>
            </w:pPr>
            <w:r w:rsidRPr="005D732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55" w:type="dxa"/>
          </w:tcPr>
          <w:p w:rsidR="0050371C" w:rsidRPr="000E2608" w:rsidRDefault="00827738" w:rsidP="000E2608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стр.24</w:t>
            </w:r>
          </w:p>
        </w:tc>
        <w:tc>
          <w:tcPr>
            <w:tcW w:w="4536" w:type="dxa"/>
            <w:shd w:val="clear" w:color="auto" w:fill="auto"/>
          </w:tcPr>
          <w:p w:rsidR="00D5467B" w:rsidRPr="00742AB7" w:rsidRDefault="00827738" w:rsidP="005377B8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П.1.2;1.4; 1.6; 1.9; 1.10; 1.12; 1.13; 1.14; 1.15; 1.17; </w:t>
            </w:r>
            <w:r w:rsidR="001509B1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указать что данные мероприятия реализуются на </w:t>
            </w:r>
            <w:proofErr w:type="spellStart"/>
            <w:r w:rsidR="001509B1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Сормовской</w:t>
            </w:r>
            <w:proofErr w:type="spellEnd"/>
            <w:r w:rsidR="001509B1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ТЭЦ.</w:t>
            </w:r>
          </w:p>
        </w:tc>
        <w:tc>
          <w:tcPr>
            <w:tcW w:w="1971" w:type="dxa"/>
          </w:tcPr>
          <w:p w:rsidR="0050371C" w:rsidRPr="00FC7B43" w:rsidRDefault="001509B1" w:rsidP="00975451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7338C9" w:rsidTr="0033034C">
        <w:trPr>
          <w:trHeight w:val="238"/>
        </w:trPr>
        <w:tc>
          <w:tcPr>
            <w:tcW w:w="440" w:type="dxa"/>
          </w:tcPr>
          <w:p w:rsidR="00AD137B" w:rsidRDefault="00233D86" w:rsidP="005A7B74">
            <w:r>
              <w:t>2</w:t>
            </w:r>
          </w:p>
        </w:tc>
        <w:tc>
          <w:tcPr>
            <w:tcW w:w="2355" w:type="dxa"/>
          </w:tcPr>
          <w:p w:rsidR="00AD137B" w:rsidRPr="00224744" w:rsidRDefault="001509B1" w:rsidP="000E2608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2, табл.2.6</w:t>
            </w:r>
            <w:r w:rsidR="00246F63"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,</w:t>
            </w: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 xml:space="preserve"> стр.57</w:t>
            </w:r>
            <w:r w:rsidR="00250FF4"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 xml:space="preserve"> (</w:t>
            </w:r>
            <w:r w:rsidR="00250FF4">
              <w:rPr>
                <w:sz w:val="18"/>
                <w:szCs w:val="18"/>
              </w:rPr>
              <w:t>22401.ОМ-ПСТ.002.000</w:t>
            </w:r>
            <w:r w:rsidR="00250FF4"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9B3AD8" w:rsidRPr="00224744" w:rsidRDefault="001509B1" w:rsidP="00250FF4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Меро</w:t>
            </w:r>
            <w:r w:rsidR="00250FF4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приятия с №393 по №402, реализуемые заявителем ОО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О «</w:t>
            </w:r>
            <w:r w:rsidR="00250FF4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ТК «</w:t>
            </w:r>
            <w:proofErr w:type="spellStart"/>
            <w:r w:rsidR="00250FF4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ВолгаТрансОйл</w:t>
            </w:r>
            <w:proofErr w:type="spellEnd"/>
            <w:r w:rsidR="00250FF4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»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» </w:t>
            </w:r>
            <w:r w:rsidR="00250FF4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-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сместить начало ввода домов с 2024 на 2027</w:t>
            </w:r>
            <w:r w:rsidR="00250FF4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(ввод остальных домов так-же сместить на 3 года)</w:t>
            </w:r>
          </w:p>
        </w:tc>
        <w:tc>
          <w:tcPr>
            <w:tcW w:w="1971" w:type="dxa"/>
          </w:tcPr>
          <w:p w:rsidR="007338C9" w:rsidRPr="00224744" w:rsidRDefault="001509B1" w:rsidP="0010670B">
            <w:pPr>
              <w:rPr>
                <w:bCs/>
                <w:i/>
                <w:iCs/>
                <w:color w:val="FF0000"/>
              </w:rPr>
            </w:pPr>
            <w:r w:rsidRPr="001509B1">
              <w:rPr>
                <w:bCs/>
                <w:i/>
                <w:iCs/>
              </w:rPr>
              <w:t>Исправить</w:t>
            </w:r>
          </w:p>
        </w:tc>
      </w:tr>
      <w:tr w:rsidR="007338C9" w:rsidTr="0033034C">
        <w:tc>
          <w:tcPr>
            <w:tcW w:w="440" w:type="dxa"/>
          </w:tcPr>
          <w:p w:rsidR="003358E9" w:rsidRDefault="005C6871" w:rsidP="003358E9">
            <w:r>
              <w:t>3</w:t>
            </w:r>
          </w:p>
        </w:tc>
        <w:tc>
          <w:tcPr>
            <w:tcW w:w="2355" w:type="dxa"/>
          </w:tcPr>
          <w:p w:rsidR="003358E9" w:rsidRPr="000E2608" w:rsidRDefault="006E7CF3" w:rsidP="000E2608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стр.24</w:t>
            </w:r>
          </w:p>
        </w:tc>
        <w:tc>
          <w:tcPr>
            <w:tcW w:w="4536" w:type="dxa"/>
            <w:shd w:val="clear" w:color="auto" w:fill="auto"/>
          </w:tcPr>
          <w:p w:rsidR="00432FBD" w:rsidRDefault="006E7CF3" w:rsidP="0021355F">
            <w:pPr>
              <w:jc w:val="both"/>
            </w:pPr>
            <w:r>
              <w:t>П.1.7</w:t>
            </w:r>
            <w:r w:rsidR="00432FBD">
              <w:t xml:space="preserve"> «</w:t>
            </w:r>
            <w:r w:rsidR="00432FBD" w:rsidRPr="00432FBD">
              <w:t xml:space="preserve">Модернизация системы </w:t>
            </w:r>
            <w:proofErr w:type="spellStart"/>
            <w:r w:rsidR="00432FBD" w:rsidRPr="00432FBD">
              <w:t>газопотребления</w:t>
            </w:r>
            <w:proofErr w:type="spellEnd"/>
            <w:r w:rsidR="00432FBD" w:rsidRPr="00432FBD">
              <w:t xml:space="preserve"> </w:t>
            </w:r>
            <w:proofErr w:type="spellStart"/>
            <w:r w:rsidR="00432FBD" w:rsidRPr="00432FBD">
              <w:t>Сормовской</w:t>
            </w:r>
            <w:proofErr w:type="spellEnd"/>
            <w:r w:rsidR="00432FBD" w:rsidRPr="00432FBD">
              <w:t xml:space="preserve"> ТЭЦ со строительством внутренних газопроводов и ГРП</w:t>
            </w:r>
            <w:r w:rsidR="00432FBD">
              <w:t>»</w:t>
            </w:r>
            <w:r>
              <w:t xml:space="preserve"> </w:t>
            </w:r>
          </w:p>
          <w:p w:rsidR="0095263D" w:rsidRPr="0095263D" w:rsidRDefault="006E7CF3" w:rsidP="0021355F">
            <w:pPr>
              <w:jc w:val="both"/>
              <w:rPr>
                <w:bCs/>
                <w:iCs/>
              </w:rPr>
            </w:pPr>
            <w:r>
              <w:t>указать годы реализации 2024-</w:t>
            </w:r>
            <w:r w:rsidRPr="006E7CF3">
              <w:rPr>
                <w:highlight w:val="yellow"/>
              </w:rPr>
              <w:t>2025</w:t>
            </w:r>
            <w:r>
              <w:t xml:space="preserve"> (указан 2024-2024)</w:t>
            </w:r>
          </w:p>
        </w:tc>
        <w:tc>
          <w:tcPr>
            <w:tcW w:w="1971" w:type="dxa"/>
          </w:tcPr>
          <w:p w:rsidR="003358E9" w:rsidRPr="00742AB7" w:rsidRDefault="006E7CF3" w:rsidP="003358E9">
            <w:pPr>
              <w:rPr>
                <w:b/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7338C9" w:rsidTr="0033034C">
        <w:tc>
          <w:tcPr>
            <w:tcW w:w="440" w:type="dxa"/>
          </w:tcPr>
          <w:p w:rsidR="003358E9" w:rsidRDefault="005C6871" w:rsidP="003358E9">
            <w:r>
              <w:t>4</w:t>
            </w:r>
          </w:p>
        </w:tc>
        <w:tc>
          <w:tcPr>
            <w:tcW w:w="2355" w:type="dxa"/>
          </w:tcPr>
          <w:p w:rsidR="00737FE2" w:rsidRPr="000E2608" w:rsidRDefault="00432FBD" w:rsidP="000E2608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стр.24,25</w:t>
            </w:r>
          </w:p>
        </w:tc>
        <w:tc>
          <w:tcPr>
            <w:tcW w:w="4536" w:type="dxa"/>
            <w:shd w:val="clear" w:color="auto" w:fill="auto"/>
          </w:tcPr>
          <w:p w:rsidR="00432FBD" w:rsidRPr="00432FBD" w:rsidRDefault="00432FBD" w:rsidP="00432FBD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П.1.8 «Модернизация системы установки обработки воды Сормовской ТЭЦ, методом электролиза»</w:t>
            </w:r>
          </w:p>
          <w:p w:rsidR="00737FE2" w:rsidRPr="000E2608" w:rsidRDefault="00432FBD" w:rsidP="00432FBD">
            <w:pPr>
              <w:pStyle w:val="a1"/>
              <w:spacing w:line="240" w:lineRule="auto"/>
              <w:ind w:firstLine="0"/>
              <w:rPr>
                <w:color w:val="000000"/>
              </w:rPr>
            </w:pP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указать годы реализации</w:t>
            </w:r>
            <w:r>
              <w:t xml:space="preserve"> 2025-</w:t>
            </w:r>
            <w:r>
              <w:rPr>
                <w:highlight w:val="yellow"/>
              </w:rPr>
              <w:t>2027</w:t>
            </w:r>
            <w:r>
              <w:t xml:space="preserve"> (указан 2025-2026)</w:t>
            </w:r>
          </w:p>
        </w:tc>
        <w:tc>
          <w:tcPr>
            <w:tcW w:w="1971" w:type="dxa"/>
          </w:tcPr>
          <w:p w:rsidR="003358E9" w:rsidRDefault="00432FBD" w:rsidP="00737FE2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7338C9" w:rsidTr="0033034C">
        <w:tc>
          <w:tcPr>
            <w:tcW w:w="440" w:type="dxa"/>
          </w:tcPr>
          <w:p w:rsidR="003358E9" w:rsidRDefault="005C6871" w:rsidP="003358E9">
            <w:r>
              <w:t>5</w:t>
            </w:r>
          </w:p>
        </w:tc>
        <w:tc>
          <w:tcPr>
            <w:tcW w:w="2355" w:type="dxa"/>
          </w:tcPr>
          <w:p w:rsidR="0053032E" w:rsidRPr="000E2608" w:rsidRDefault="00432FBD" w:rsidP="000E2608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стр.25</w:t>
            </w:r>
          </w:p>
        </w:tc>
        <w:tc>
          <w:tcPr>
            <w:tcW w:w="4536" w:type="dxa"/>
            <w:shd w:val="clear" w:color="auto" w:fill="auto"/>
          </w:tcPr>
          <w:p w:rsidR="00432FBD" w:rsidRPr="00432FBD" w:rsidRDefault="00432FBD" w:rsidP="00432FBD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П.1.9 </w:t>
            </w: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«Организация подогрева сырой воды во встроенных пучках ТГ-3, ТГ-4 с организацией </w:t>
            </w:r>
            <w:proofErr w:type="gramStart"/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резервирования  теплофикационного</w:t>
            </w:r>
            <w:proofErr w:type="gramEnd"/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отбора бойлерной установки №4 (СМР)»</w:t>
            </w:r>
          </w:p>
          <w:p w:rsidR="003358E9" w:rsidRPr="000E2608" w:rsidRDefault="00432FBD" w:rsidP="00432FBD">
            <w:pPr>
              <w:pStyle w:val="a1"/>
              <w:spacing w:line="240" w:lineRule="auto"/>
              <w:ind w:firstLine="0"/>
              <w:rPr>
                <w:color w:val="000000"/>
              </w:rPr>
            </w:pP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указать годы реализации</w:t>
            </w:r>
            <w:r>
              <w:t xml:space="preserve"> 2026-</w:t>
            </w:r>
            <w:r>
              <w:rPr>
                <w:highlight w:val="yellow"/>
              </w:rPr>
              <w:t>2026</w:t>
            </w:r>
            <w:r>
              <w:t xml:space="preserve"> (указан 2025-2025)</w:t>
            </w:r>
          </w:p>
        </w:tc>
        <w:tc>
          <w:tcPr>
            <w:tcW w:w="1971" w:type="dxa"/>
          </w:tcPr>
          <w:p w:rsidR="0053032E" w:rsidRDefault="00432FBD" w:rsidP="003358E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53032E" w:rsidTr="0033034C">
        <w:tc>
          <w:tcPr>
            <w:tcW w:w="440" w:type="dxa"/>
          </w:tcPr>
          <w:p w:rsidR="0053032E" w:rsidRDefault="005C6871" w:rsidP="003358E9">
            <w:r>
              <w:t>6</w:t>
            </w:r>
          </w:p>
        </w:tc>
        <w:tc>
          <w:tcPr>
            <w:tcW w:w="2355" w:type="dxa"/>
          </w:tcPr>
          <w:p w:rsidR="0053032E" w:rsidRPr="000E2608" w:rsidRDefault="006460CE" w:rsidP="000E2608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стр.25</w:t>
            </w:r>
          </w:p>
        </w:tc>
        <w:tc>
          <w:tcPr>
            <w:tcW w:w="4536" w:type="dxa"/>
            <w:shd w:val="clear" w:color="auto" w:fill="auto"/>
          </w:tcPr>
          <w:p w:rsidR="006460CE" w:rsidRPr="00432FBD" w:rsidRDefault="006460CE" w:rsidP="006460CE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П.1.16 </w:t>
            </w: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«</w:t>
            </w:r>
            <w:r w:rsidRPr="006460CE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Техническое перевооружение питательного трубопровода от ПЭН ст.№3 до котла ст.№4 с установкой ЧРП на ПЭН ст. №3</w:t>
            </w: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»</w:t>
            </w:r>
          </w:p>
          <w:p w:rsidR="0053032E" w:rsidRPr="000E2608" w:rsidRDefault="006460CE" w:rsidP="006460CE">
            <w:pPr>
              <w:pStyle w:val="a1"/>
              <w:spacing w:line="240" w:lineRule="auto"/>
              <w:ind w:firstLine="0"/>
              <w:rPr>
                <w:color w:val="000000"/>
              </w:rPr>
            </w:pP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указать годы реализации</w:t>
            </w:r>
            <w:r>
              <w:t xml:space="preserve"> 2025-</w:t>
            </w:r>
            <w:r>
              <w:rPr>
                <w:highlight w:val="yellow"/>
              </w:rPr>
              <w:t>2025</w:t>
            </w:r>
            <w:r>
              <w:t xml:space="preserve"> (указан 2025-2027)</w:t>
            </w:r>
          </w:p>
        </w:tc>
        <w:tc>
          <w:tcPr>
            <w:tcW w:w="1971" w:type="dxa"/>
          </w:tcPr>
          <w:p w:rsidR="0053032E" w:rsidRDefault="006460CE" w:rsidP="003358E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661BAB" w:rsidTr="0033034C">
        <w:tc>
          <w:tcPr>
            <w:tcW w:w="440" w:type="dxa"/>
          </w:tcPr>
          <w:p w:rsidR="00661BAB" w:rsidRDefault="00661BAB" w:rsidP="00661BAB">
            <w:r>
              <w:t>7</w:t>
            </w:r>
          </w:p>
        </w:tc>
        <w:tc>
          <w:tcPr>
            <w:tcW w:w="2355" w:type="dxa"/>
          </w:tcPr>
          <w:p w:rsidR="00661BAB" w:rsidRPr="000E2608" w:rsidRDefault="00661BAB" w:rsidP="00661BAB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стр.25</w:t>
            </w:r>
          </w:p>
        </w:tc>
        <w:tc>
          <w:tcPr>
            <w:tcW w:w="4536" w:type="dxa"/>
            <w:shd w:val="clear" w:color="auto" w:fill="auto"/>
          </w:tcPr>
          <w:p w:rsidR="00661BAB" w:rsidRPr="00432FBD" w:rsidRDefault="00661BAB" w:rsidP="00661BAB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П.1.18 </w:t>
            </w: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«</w:t>
            </w:r>
            <w:r w:rsidR="007D2F1D" w:rsidRPr="007D2F1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Техническое перевооружение системы теплоснабжения </w:t>
            </w:r>
            <w:proofErr w:type="gramStart"/>
            <w:r w:rsidR="007D2F1D" w:rsidRPr="007D2F1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с заменой сетевых трубопроводов</w:t>
            </w:r>
            <w:proofErr w:type="gramEnd"/>
            <w:r w:rsidR="007D2F1D" w:rsidRPr="007D2F1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на ЦТП-324 АО «</w:t>
            </w:r>
            <w:proofErr w:type="spellStart"/>
            <w:r w:rsidR="007D2F1D" w:rsidRPr="007D2F1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Теплоэнерго</w:t>
            </w:r>
            <w:proofErr w:type="spellEnd"/>
            <w:r w:rsidR="007D2F1D" w:rsidRPr="007D2F1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»</w:t>
            </w: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»</w:t>
            </w:r>
          </w:p>
          <w:p w:rsidR="00661BAB" w:rsidRPr="000E2608" w:rsidRDefault="00661BAB" w:rsidP="00661BAB">
            <w:pPr>
              <w:pStyle w:val="a1"/>
              <w:spacing w:line="240" w:lineRule="auto"/>
              <w:ind w:firstLine="0"/>
              <w:rPr>
                <w:color w:val="000000"/>
              </w:rPr>
            </w:pP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указать годы реализации</w:t>
            </w:r>
            <w:r w:rsidR="007D2F1D">
              <w:t xml:space="preserve"> 2024</w:t>
            </w:r>
            <w:r>
              <w:t>-</w:t>
            </w:r>
            <w:r w:rsidR="007D2F1D">
              <w:rPr>
                <w:highlight w:val="yellow"/>
              </w:rPr>
              <w:t>2026</w:t>
            </w:r>
            <w:r>
              <w:t xml:space="preserve"> (</w:t>
            </w:r>
            <w:r w:rsidR="007D2F1D">
              <w:t>указан 2024-2025</w:t>
            </w:r>
            <w:r>
              <w:t>)</w:t>
            </w:r>
          </w:p>
        </w:tc>
        <w:tc>
          <w:tcPr>
            <w:tcW w:w="1971" w:type="dxa"/>
          </w:tcPr>
          <w:p w:rsidR="00661BAB" w:rsidRDefault="007D2F1D" w:rsidP="00661BA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7D2F1D" w:rsidTr="0033034C">
        <w:tc>
          <w:tcPr>
            <w:tcW w:w="440" w:type="dxa"/>
          </w:tcPr>
          <w:p w:rsidR="007D2F1D" w:rsidRDefault="007D2F1D" w:rsidP="007D2F1D">
            <w:r>
              <w:t>8</w:t>
            </w:r>
          </w:p>
        </w:tc>
        <w:tc>
          <w:tcPr>
            <w:tcW w:w="2355" w:type="dxa"/>
          </w:tcPr>
          <w:p w:rsidR="007D2F1D" w:rsidRPr="000E2608" w:rsidRDefault="007D2F1D" w:rsidP="007D2F1D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стр.25</w:t>
            </w:r>
          </w:p>
        </w:tc>
        <w:tc>
          <w:tcPr>
            <w:tcW w:w="4536" w:type="dxa"/>
            <w:shd w:val="clear" w:color="auto" w:fill="auto"/>
          </w:tcPr>
          <w:p w:rsidR="007D2F1D" w:rsidRPr="00432FBD" w:rsidRDefault="007D2F1D" w:rsidP="007D2F1D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П.1.20 </w:t>
            </w: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«</w:t>
            </w:r>
            <w:r w:rsidRPr="007D2F1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Техническое перевооружение системы теплоснабжения с установкой узлов учета системы подогрева резервного топлива</w:t>
            </w: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»</w:t>
            </w:r>
          </w:p>
          <w:p w:rsidR="007D2F1D" w:rsidRPr="000E2608" w:rsidRDefault="007D2F1D" w:rsidP="007D2F1D">
            <w:pPr>
              <w:pStyle w:val="a1"/>
              <w:spacing w:line="240" w:lineRule="auto"/>
              <w:ind w:firstLine="0"/>
              <w:rPr>
                <w:color w:val="000000"/>
              </w:rPr>
            </w:pPr>
            <w:r w:rsidRPr="00432FB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указать годы реализации</w:t>
            </w:r>
            <w:r>
              <w:t xml:space="preserve"> 2024-</w:t>
            </w:r>
            <w:r>
              <w:rPr>
                <w:highlight w:val="yellow"/>
              </w:rPr>
              <w:t>2026</w:t>
            </w:r>
            <w:r>
              <w:t xml:space="preserve"> (указан 2024-2025)</w:t>
            </w:r>
          </w:p>
        </w:tc>
        <w:tc>
          <w:tcPr>
            <w:tcW w:w="1971" w:type="dxa"/>
          </w:tcPr>
          <w:p w:rsidR="007D2F1D" w:rsidRDefault="007D2F1D" w:rsidP="007D2F1D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7D2F1D" w:rsidTr="0033034C">
        <w:tc>
          <w:tcPr>
            <w:tcW w:w="440" w:type="dxa"/>
          </w:tcPr>
          <w:p w:rsidR="007D2F1D" w:rsidRDefault="00E37E5D" w:rsidP="007D2F1D">
            <w:r>
              <w:t>9</w:t>
            </w:r>
          </w:p>
        </w:tc>
        <w:tc>
          <w:tcPr>
            <w:tcW w:w="2355" w:type="dxa"/>
          </w:tcPr>
          <w:p w:rsidR="007D2F1D" w:rsidRPr="00224744" w:rsidRDefault="007D2F1D" w:rsidP="007D2F1D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стр.25</w:t>
            </w:r>
          </w:p>
        </w:tc>
        <w:tc>
          <w:tcPr>
            <w:tcW w:w="4536" w:type="dxa"/>
            <w:shd w:val="clear" w:color="auto" w:fill="auto"/>
          </w:tcPr>
          <w:p w:rsidR="00E37E5D" w:rsidRDefault="00E37E5D" w:rsidP="00E37E5D">
            <w:pPr>
              <w:pStyle w:val="a1"/>
              <w:spacing w:line="240" w:lineRule="auto"/>
              <w:ind w:left="-71" w:firstLine="0"/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>В таблице отсутствует мероприятие:</w:t>
            </w:r>
          </w:p>
          <w:p w:rsidR="007D2F1D" w:rsidRDefault="00E37E5D" w:rsidP="00E37E5D">
            <w:pPr>
              <w:pStyle w:val="a1"/>
              <w:spacing w:line="240" w:lineRule="auto"/>
              <w:ind w:left="-71" w:firstLine="0"/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 xml:space="preserve"> </w:t>
            </w:r>
            <w:r w:rsidR="007D2F1D"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>«</w:t>
            </w:r>
            <w:r w:rsidR="007D2F1D" w:rsidRPr="007D2F1D"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 xml:space="preserve">Техническое перевооружение системы теплоснабжения с модернизацией системы управления греющего пара бойлерных установок РОУ 13/1,2 и БРОУ 140/13, </w:t>
            </w:r>
            <w:r w:rsidR="007D2F1D"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>РРОУ 140/13»</w:t>
            </w:r>
          </w:p>
          <w:p w:rsidR="007D2F1D" w:rsidRPr="00224744" w:rsidRDefault="007D2F1D" w:rsidP="007D2F1D">
            <w:pPr>
              <w:pStyle w:val="a1"/>
              <w:spacing w:line="240" w:lineRule="auto"/>
              <w:ind w:left="-71" w:firstLine="0"/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 xml:space="preserve">Годы </w:t>
            </w:r>
            <w:r w:rsidRPr="007D2F1D"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 xml:space="preserve">реализации </w:t>
            </w:r>
            <w:r w:rsidRPr="007D2F1D">
              <w:t>2024-2026</w:t>
            </w:r>
            <w:r>
              <w:t>, кап.затраты (2024-2030гг)- 10391 тыс.руб без НДС</w:t>
            </w:r>
          </w:p>
        </w:tc>
        <w:tc>
          <w:tcPr>
            <w:tcW w:w="1971" w:type="dxa"/>
          </w:tcPr>
          <w:p w:rsidR="007D2F1D" w:rsidRPr="00224744" w:rsidRDefault="007D2F1D" w:rsidP="007D2F1D">
            <w:pP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Добавить</w:t>
            </w:r>
          </w:p>
        </w:tc>
      </w:tr>
      <w:tr w:rsidR="007D2F1D" w:rsidTr="0033034C">
        <w:tc>
          <w:tcPr>
            <w:tcW w:w="440" w:type="dxa"/>
          </w:tcPr>
          <w:p w:rsidR="007D2F1D" w:rsidRDefault="00E37E5D" w:rsidP="007D2F1D">
            <w:r>
              <w:t>10</w:t>
            </w:r>
          </w:p>
        </w:tc>
        <w:tc>
          <w:tcPr>
            <w:tcW w:w="2355" w:type="dxa"/>
          </w:tcPr>
          <w:p w:rsidR="007D2F1D" w:rsidRPr="00224744" w:rsidRDefault="00E37E5D" w:rsidP="007D2F1D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noProof/>
                <w:color w:val="000000"/>
              </w:rPr>
              <w:t>Глава 7, табл.7.1, стр.25</w:t>
            </w:r>
          </w:p>
        </w:tc>
        <w:tc>
          <w:tcPr>
            <w:tcW w:w="4536" w:type="dxa"/>
            <w:shd w:val="clear" w:color="auto" w:fill="auto"/>
          </w:tcPr>
          <w:p w:rsidR="00E37E5D" w:rsidRDefault="00E37E5D" w:rsidP="00E37E5D">
            <w:pPr>
              <w:pStyle w:val="a1"/>
              <w:spacing w:line="240" w:lineRule="auto"/>
              <w:ind w:left="-71" w:firstLine="0"/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>В таблице отсутствует мероприятие:</w:t>
            </w:r>
          </w:p>
          <w:p w:rsidR="00E37E5D" w:rsidRDefault="00E37E5D" w:rsidP="007D2F1D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«</w:t>
            </w:r>
            <w:r w:rsidRPr="00E37E5D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Демонтаж существующего газопровода и сущ. ГРУ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» с указанием</w:t>
            </w:r>
          </w:p>
          <w:p w:rsidR="007D2F1D" w:rsidRDefault="00E37E5D" w:rsidP="00E37E5D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 xml:space="preserve">Годы </w:t>
            </w:r>
            <w:r w:rsidRPr="007D2F1D">
              <w:rPr>
                <w:rFonts w:ascii="Tahoma" w:eastAsiaTheme="minorHAnsi" w:hAnsi="Tahoma" w:cs="Tahoma"/>
                <w:bCs w:val="0"/>
                <w:iCs w:val="0"/>
                <w:noProof w:val="0"/>
                <w:sz w:val="20"/>
                <w:szCs w:val="20"/>
              </w:rPr>
              <w:t xml:space="preserve">реализации </w:t>
            </w:r>
            <w:r>
              <w:t>2027</w:t>
            </w:r>
            <w:r w:rsidRPr="007D2F1D">
              <w:t>-</w:t>
            </w:r>
            <w:r>
              <w:t>2027, кап.затраты (2024-2030гг)- 4618 тыс.руб без НДС</w:t>
            </w:r>
          </w:p>
        </w:tc>
        <w:tc>
          <w:tcPr>
            <w:tcW w:w="1971" w:type="dxa"/>
          </w:tcPr>
          <w:p w:rsidR="007D2F1D" w:rsidRDefault="00E37E5D" w:rsidP="007D2F1D">
            <w:pPr>
              <w:rPr>
                <w:bCs/>
                <w:i/>
                <w:iCs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Добавить, может отразить в другой таблице?</w:t>
            </w:r>
          </w:p>
        </w:tc>
      </w:tr>
      <w:tr w:rsidR="007D2F1D" w:rsidTr="0033034C">
        <w:tc>
          <w:tcPr>
            <w:tcW w:w="440" w:type="dxa"/>
          </w:tcPr>
          <w:p w:rsidR="007D2F1D" w:rsidRDefault="00886651" w:rsidP="007D2F1D">
            <w:r>
              <w:lastRenderedPageBreak/>
              <w:t>11</w:t>
            </w:r>
          </w:p>
        </w:tc>
        <w:tc>
          <w:tcPr>
            <w:tcW w:w="2355" w:type="dxa"/>
          </w:tcPr>
          <w:p w:rsidR="007D2F1D" w:rsidRDefault="00886651" w:rsidP="007D2F1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Глава </w:t>
            </w:r>
            <w:r w:rsidR="00306E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7D2F1D" w:rsidRDefault="00886651" w:rsidP="00886651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Не отражено предложение филиала о включении в СТС мероприятий «Комплексного</w:t>
            </w:r>
            <w:r w:rsidRPr="00886651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план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а</w:t>
            </w:r>
            <w:r w:rsidRPr="00886651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строительства и модернизации коммунальной инфраструктуры в Приволжском федеральном округе на период 2023-2030 гг. (СТЭЦ)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» Письмо №50700-26-1302 от 11.04.2024</w:t>
            </w:r>
            <w:r w:rsidR="00306E32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.</w:t>
            </w:r>
          </w:p>
          <w:p w:rsidR="00886651" w:rsidRDefault="00306E32" w:rsidP="00306E32">
            <w:pPr>
              <w:rPr>
                <w:bCs/>
                <w:iCs/>
              </w:rPr>
            </w:pPr>
            <w:r w:rsidRPr="00FC028F">
              <w:t>Предлагаем рассмотреть в главе 5 «Мастер-план» возможность реализации данных мероприятий при условии определения источника финансирования</w:t>
            </w:r>
            <w:r>
              <w:t>.</w:t>
            </w:r>
          </w:p>
        </w:tc>
        <w:tc>
          <w:tcPr>
            <w:tcW w:w="1971" w:type="dxa"/>
          </w:tcPr>
          <w:p w:rsidR="007D2F1D" w:rsidRDefault="00886651" w:rsidP="007D2F1D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Добавить,</w:t>
            </w:r>
          </w:p>
          <w:p w:rsidR="00886651" w:rsidRDefault="00886651" w:rsidP="00306E32">
            <w:pPr>
              <w:rPr>
                <w:bCs/>
                <w:i/>
                <w:iCs/>
              </w:rPr>
            </w:pPr>
          </w:p>
        </w:tc>
      </w:tr>
      <w:tr w:rsidR="0033034C" w:rsidTr="0033034C">
        <w:tc>
          <w:tcPr>
            <w:tcW w:w="440" w:type="dxa"/>
          </w:tcPr>
          <w:p w:rsidR="0033034C" w:rsidRDefault="0033034C" w:rsidP="0033034C">
            <w:r>
              <w:t>12</w:t>
            </w:r>
          </w:p>
        </w:tc>
        <w:tc>
          <w:tcPr>
            <w:tcW w:w="2355" w:type="dxa"/>
          </w:tcPr>
          <w:p w:rsidR="0033034C" w:rsidRPr="00B60B44" w:rsidRDefault="0033034C" w:rsidP="0033034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0B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Глава 10, раздел 3.1, таблица 3.4, стр. 25</w:t>
            </w:r>
          </w:p>
          <w:p w:rsidR="0033034C" w:rsidRPr="00B60B44" w:rsidRDefault="0033034C" w:rsidP="0033034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3034C" w:rsidRPr="00B60B44" w:rsidRDefault="0033034C" w:rsidP="0033034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0B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22401 СТ-ПСТ.000.000, раздел 8, таблица 9.4, стр.432</w:t>
            </w:r>
          </w:p>
        </w:tc>
        <w:tc>
          <w:tcPr>
            <w:tcW w:w="4536" w:type="dxa"/>
            <w:shd w:val="clear" w:color="auto" w:fill="auto"/>
          </w:tcPr>
          <w:p w:rsidR="0033034C" w:rsidRPr="00B60B44" w:rsidRDefault="0033034C" w:rsidP="0033034C">
            <w:pPr>
              <w:pStyle w:val="a1"/>
              <w:spacing w:line="240" w:lineRule="auto"/>
              <w:ind w:firstLine="0"/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</w:pPr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 xml:space="preserve">Согласно Приказу МЭ №766 от 12.09.23 по </w:t>
            </w:r>
            <w:proofErr w:type="spellStart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>Сормовской</w:t>
            </w:r>
            <w:proofErr w:type="spellEnd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 xml:space="preserve"> ТЭЦ </w:t>
            </w:r>
            <w:proofErr w:type="spellStart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>УРУТы</w:t>
            </w:r>
            <w:proofErr w:type="spellEnd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 xml:space="preserve"> утверждены на 2024-2028 </w:t>
            </w:r>
            <w:proofErr w:type="spellStart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>гг</w:t>
            </w:r>
            <w:proofErr w:type="spellEnd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 xml:space="preserve"> в следующих размерах:</w:t>
            </w:r>
          </w:p>
          <w:p w:rsidR="0033034C" w:rsidRPr="00B60B44" w:rsidRDefault="0033034C" w:rsidP="0033034C">
            <w:pPr>
              <w:pStyle w:val="a1"/>
              <w:spacing w:line="240" w:lineRule="auto"/>
              <w:ind w:firstLine="0"/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</w:pPr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 xml:space="preserve">УРУТ на ЭЭ – 305,9 г </w:t>
            </w:r>
            <w:proofErr w:type="spellStart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>у.т</w:t>
            </w:r>
            <w:proofErr w:type="spellEnd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>./кВт*ч;</w:t>
            </w:r>
          </w:p>
          <w:p w:rsidR="0033034C" w:rsidRPr="00B60B44" w:rsidRDefault="0033034C" w:rsidP="0033034C">
            <w:pPr>
              <w:pStyle w:val="a1"/>
              <w:spacing w:line="240" w:lineRule="auto"/>
              <w:ind w:firstLine="0"/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</w:pPr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 xml:space="preserve">УРУТ на ТЭ – 150,6 кг </w:t>
            </w:r>
            <w:proofErr w:type="spellStart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>у.т</w:t>
            </w:r>
            <w:proofErr w:type="spellEnd"/>
            <w:r w:rsidRPr="00B60B44">
              <w:rPr>
                <w:bCs w:val="0"/>
                <w:iCs w:val="0"/>
                <w:noProof w:val="0"/>
                <w:color w:val="000000"/>
                <w:sz w:val="18"/>
                <w:szCs w:val="18"/>
              </w:rPr>
              <w:t xml:space="preserve">./Гкал. </w:t>
            </w:r>
          </w:p>
        </w:tc>
        <w:tc>
          <w:tcPr>
            <w:tcW w:w="1971" w:type="dxa"/>
          </w:tcPr>
          <w:p w:rsidR="0033034C" w:rsidRPr="00FC7B43" w:rsidRDefault="0089226B" w:rsidP="0033034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</w:t>
            </w:r>
          </w:p>
        </w:tc>
      </w:tr>
      <w:tr w:rsidR="0032488C" w:rsidTr="0033034C">
        <w:tc>
          <w:tcPr>
            <w:tcW w:w="440" w:type="dxa"/>
          </w:tcPr>
          <w:p w:rsidR="0032488C" w:rsidRDefault="0032488C" w:rsidP="0032488C">
            <w:r>
              <w:t>13</w:t>
            </w:r>
          </w:p>
        </w:tc>
        <w:tc>
          <w:tcPr>
            <w:tcW w:w="2355" w:type="dxa"/>
          </w:tcPr>
          <w:p w:rsidR="0032488C" w:rsidRPr="002D3372" w:rsidRDefault="0032488C" w:rsidP="0032488C">
            <w:pPr>
              <w:rPr>
                <w:rFonts w:ascii="Arial" w:hAnsi="Arial" w:cs="Arial"/>
                <w:sz w:val="20"/>
                <w:szCs w:val="20"/>
              </w:rPr>
            </w:pPr>
            <w:r w:rsidRPr="002D3372">
              <w:rPr>
                <w:rFonts w:ascii="Arial" w:hAnsi="Arial" w:cs="Arial"/>
                <w:sz w:val="20"/>
                <w:szCs w:val="20"/>
              </w:rPr>
              <w:t>22401.ОМ-ПСТ.001.000-</w:t>
            </w:r>
          </w:p>
          <w:p w:rsidR="0032488C" w:rsidRPr="002D3372" w:rsidRDefault="0032488C" w:rsidP="0032488C">
            <w:pPr>
              <w:rPr>
                <w:rFonts w:ascii="Arial" w:eastAsia="Times New Roman" w:hAnsi="Arial" w:cs="Arial"/>
                <w:bCs/>
                <w:iCs/>
                <w:noProof/>
                <w:color w:val="000000"/>
                <w:sz w:val="20"/>
                <w:szCs w:val="20"/>
              </w:rPr>
            </w:pPr>
            <w:r w:rsidRPr="002D3372">
              <w:rPr>
                <w:rFonts w:ascii="Arial" w:eastAsia="Times New Roman" w:hAnsi="Arial" w:cs="Arial"/>
                <w:bCs/>
                <w:iCs/>
                <w:noProof/>
                <w:color w:val="000000"/>
                <w:sz w:val="20"/>
                <w:szCs w:val="20"/>
              </w:rPr>
              <w:t xml:space="preserve">Раздел </w:t>
            </w:r>
            <w:r w:rsidRPr="002D3372">
              <w:rPr>
                <w:rFonts w:ascii="Arial" w:hAnsi="Arial" w:cs="Arial"/>
                <w:sz w:val="20"/>
                <w:szCs w:val="20"/>
              </w:rPr>
              <w:t>6.1.2 ст.499</w:t>
            </w:r>
          </w:p>
        </w:tc>
        <w:tc>
          <w:tcPr>
            <w:tcW w:w="4536" w:type="dxa"/>
            <w:shd w:val="clear" w:color="auto" w:fill="auto"/>
          </w:tcPr>
          <w:p w:rsidR="0032488C" w:rsidRPr="002D3372" w:rsidRDefault="0032488C" w:rsidP="0032488C">
            <w:pPr>
              <w:pStyle w:val="a1"/>
              <w:spacing w:line="240" w:lineRule="auto"/>
              <w:ind w:firstLine="0"/>
              <w:rPr>
                <w:rFonts w:eastAsiaTheme="minorHAnsi"/>
                <w:bCs w:val="0"/>
                <w:iCs w:val="0"/>
                <w:noProof w:val="0"/>
                <w:sz w:val="20"/>
                <w:szCs w:val="20"/>
              </w:rPr>
            </w:pPr>
            <w:r w:rsidRPr="002D3372">
              <w:rPr>
                <w:rFonts w:eastAsiaTheme="minorHAnsi"/>
                <w:bCs w:val="0"/>
                <w:iCs w:val="0"/>
                <w:noProof w:val="0"/>
                <w:sz w:val="20"/>
                <w:szCs w:val="20"/>
              </w:rPr>
              <w:t xml:space="preserve">Некорректная ссылка на таблицу </w:t>
            </w:r>
            <w:r w:rsidRPr="002D3372">
              <w:rPr>
                <w:sz w:val="20"/>
                <w:szCs w:val="20"/>
              </w:rPr>
              <w:t>Таблица 6.3 – Тепловой баланс Сормовской ТЭЦ</w:t>
            </w:r>
            <w:r w:rsidRPr="002D3372">
              <w:rPr>
                <w:rFonts w:eastAsiaTheme="minorHAnsi"/>
                <w:bCs w:val="0"/>
                <w:iCs w:val="0"/>
                <w:noProof w:val="0"/>
                <w:sz w:val="20"/>
                <w:szCs w:val="20"/>
              </w:rPr>
              <w:t xml:space="preserve"> </w:t>
            </w:r>
          </w:p>
        </w:tc>
        <w:tc>
          <w:tcPr>
            <w:tcW w:w="1971" w:type="dxa"/>
          </w:tcPr>
          <w:p w:rsidR="0032488C" w:rsidRPr="00FC7B43" w:rsidRDefault="0032488C" w:rsidP="0032488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Исправить №  таблицы в тексте раздела</w:t>
            </w:r>
          </w:p>
        </w:tc>
      </w:tr>
      <w:tr w:rsidR="0032488C" w:rsidTr="0033034C">
        <w:tc>
          <w:tcPr>
            <w:tcW w:w="440" w:type="dxa"/>
          </w:tcPr>
          <w:p w:rsidR="0032488C" w:rsidRDefault="00DC0FA4" w:rsidP="0032488C">
            <w:r>
              <w:t>14</w:t>
            </w:r>
          </w:p>
        </w:tc>
        <w:tc>
          <w:tcPr>
            <w:tcW w:w="2355" w:type="dxa"/>
          </w:tcPr>
          <w:p w:rsidR="0032488C" w:rsidRDefault="00DC0FA4" w:rsidP="0032488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Глава 3,14</w:t>
            </w:r>
          </w:p>
        </w:tc>
        <w:tc>
          <w:tcPr>
            <w:tcW w:w="4536" w:type="dxa"/>
            <w:shd w:val="clear" w:color="auto" w:fill="auto"/>
          </w:tcPr>
          <w:p w:rsidR="0032488C" w:rsidRDefault="00DC0FA4" w:rsidP="0032488C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Направить для рассмотрения главы 3 и 14</w:t>
            </w:r>
          </w:p>
        </w:tc>
        <w:tc>
          <w:tcPr>
            <w:tcW w:w="1971" w:type="dxa"/>
          </w:tcPr>
          <w:p w:rsidR="0032488C" w:rsidRDefault="0032488C" w:rsidP="0032488C">
            <w:pPr>
              <w:rPr>
                <w:bCs/>
                <w:i/>
                <w:iCs/>
              </w:rPr>
            </w:pPr>
          </w:p>
        </w:tc>
      </w:tr>
      <w:tr w:rsidR="0032488C" w:rsidTr="0033034C">
        <w:tc>
          <w:tcPr>
            <w:tcW w:w="440" w:type="dxa"/>
          </w:tcPr>
          <w:p w:rsidR="0032488C" w:rsidRDefault="00DB38FD" w:rsidP="0032488C">
            <w:r>
              <w:t>15</w:t>
            </w:r>
          </w:p>
        </w:tc>
        <w:tc>
          <w:tcPr>
            <w:tcW w:w="2355" w:type="dxa"/>
          </w:tcPr>
          <w:p w:rsidR="0032488C" w:rsidRDefault="00DB38FD" w:rsidP="0032488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Утверждаемая часть</w:t>
            </w:r>
          </w:p>
        </w:tc>
        <w:tc>
          <w:tcPr>
            <w:tcW w:w="4536" w:type="dxa"/>
            <w:shd w:val="clear" w:color="auto" w:fill="auto"/>
          </w:tcPr>
          <w:p w:rsidR="0032488C" w:rsidRDefault="00DB38FD" w:rsidP="00DB38FD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В СТС не отражен вопрос по выводу из эксплуатации паропровод от </w:t>
            </w:r>
            <w:proofErr w:type="spellStart"/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Сормовской</w:t>
            </w:r>
            <w:proofErr w:type="spellEnd"/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ТЭЦ на ЦТП-322, </w:t>
            </w:r>
            <w:proofErr w:type="spellStart"/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ул.Левинка</w:t>
            </w:r>
            <w:proofErr w:type="spellEnd"/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д.51. В табл.7.19 стр.399 нет </w:t>
            </w:r>
            <w:r w:rsidR="002300B7"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мероприятий,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связанных с переводом ЦТП-322 с пара на теплофикационную воду.</w:t>
            </w:r>
          </w:p>
          <w:p w:rsidR="002300B7" w:rsidRDefault="002300B7" w:rsidP="002300B7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Руководствуясь письмом Администрации </w:t>
            </w:r>
            <w:proofErr w:type="spellStart"/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г.Н.Новгорода</w:t>
            </w:r>
            <w:proofErr w:type="spellEnd"/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 №Исх-07-01-334504/23 от 30.06.2023 просим обосновать в схеме теплоснабжения перевод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 xml:space="preserve"> ЦТП-322 с пара на теплофикационную воду</w:t>
            </w:r>
            <w:r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  <w:t>.</w:t>
            </w:r>
            <w:bookmarkStart w:id="0" w:name="_GoBack"/>
            <w:bookmarkEnd w:id="0"/>
          </w:p>
        </w:tc>
        <w:tc>
          <w:tcPr>
            <w:tcW w:w="1971" w:type="dxa"/>
          </w:tcPr>
          <w:p w:rsidR="0032488C" w:rsidRDefault="00DB38FD" w:rsidP="002300B7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Исправить </w:t>
            </w:r>
            <w:r w:rsidR="002300B7">
              <w:rPr>
                <w:bCs/>
                <w:i/>
                <w:iCs/>
              </w:rPr>
              <w:t>(приложены</w:t>
            </w:r>
            <w:r>
              <w:rPr>
                <w:bCs/>
                <w:i/>
                <w:iCs/>
              </w:rPr>
              <w:t xml:space="preserve"> письм</w:t>
            </w:r>
            <w:r w:rsidR="002300B7">
              <w:rPr>
                <w:bCs/>
                <w:i/>
                <w:iCs/>
              </w:rPr>
              <w:t>а</w:t>
            </w:r>
            <w:r>
              <w:rPr>
                <w:bCs/>
                <w:i/>
                <w:iCs/>
              </w:rPr>
              <w:t xml:space="preserve"> №50700-27-2318 от 22.06.2023</w:t>
            </w:r>
            <w:r w:rsidR="002300B7">
              <w:rPr>
                <w:bCs/>
                <w:i/>
                <w:iCs/>
              </w:rPr>
              <w:t>,</w:t>
            </w:r>
            <w:r w:rsidR="002300B7" w:rsidRPr="002300B7">
              <w:rPr>
                <w:bCs/>
                <w:iCs/>
              </w:rPr>
              <w:t xml:space="preserve"> </w:t>
            </w:r>
            <w:r w:rsidR="002300B7" w:rsidRPr="002300B7">
              <w:rPr>
                <w:bCs/>
                <w:i/>
                <w:iCs/>
              </w:rPr>
              <w:t>№Исх-07-01-334504/23 от 30.06.2023</w:t>
            </w:r>
            <w:r w:rsidR="002300B7">
              <w:rPr>
                <w:bCs/>
                <w:i/>
                <w:iCs/>
              </w:rPr>
              <w:t xml:space="preserve">. </w:t>
            </w:r>
            <w:r>
              <w:rPr>
                <w:bCs/>
                <w:i/>
                <w:iCs/>
              </w:rPr>
              <w:t>)</w:t>
            </w:r>
          </w:p>
        </w:tc>
      </w:tr>
      <w:tr w:rsidR="0032488C" w:rsidTr="0033034C">
        <w:tc>
          <w:tcPr>
            <w:tcW w:w="440" w:type="dxa"/>
          </w:tcPr>
          <w:p w:rsidR="0032488C" w:rsidRDefault="0032488C" w:rsidP="0032488C"/>
        </w:tc>
        <w:tc>
          <w:tcPr>
            <w:tcW w:w="2355" w:type="dxa"/>
          </w:tcPr>
          <w:p w:rsidR="0032488C" w:rsidRDefault="0032488C" w:rsidP="0032488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:rsidR="0032488C" w:rsidRDefault="0032488C" w:rsidP="0032488C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</w:p>
        </w:tc>
        <w:tc>
          <w:tcPr>
            <w:tcW w:w="1971" w:type="dxa"/>
          </w:tcPr>
          <w:p w:rsidR="0032488C" w:rsidRDefault="0032488C" w:rsidP="0032488C">
            <w:pPr>
              <w:rPr>
                <w:bCs/>
                <w:i/>
                <w:iCs/>
              </w:rPr>
            </w:pPr>
          </w:p>
        </w:tc>
      </w:tr>
      <w:tr w:rsidR="0032488C" w:rsidTr="0033034C">
        <w:tc>
          <w:tcPr>
            <w:tcW w:w="440" w:type="dxa"/>
          </w:tcPr>
          <w:p w:rsidR="0032488C" w:rsidRDefault="0032488C" w:rsidP="0032488C"/>
        </w:tc>
        <w:tc>
          <w:tcPr>
            <w:tcW w:w="2355" w:type="dxa"/>
          </w:tcPr>
          <w:p w:rsidR="0032488C" w:rsidRDefault="0032488C" w:rsidP="0032488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:rsidR="0032488C" w:rsidRDefault="0032488C" w:rsidP="0032488C">
            <w:pPr>
              <w:pStyle w:val="a1"/>
              <w:spacing w:line="240" w:lineRule="auto"/>
              <w:ind w:firstLine="0"/>
              <w:rPr>
                <w:rFonts w:asciiTheme="minorHAnsi" w:eastAsiaTheme="minorHAnsi" w:hAnsiTheme="minorHAnsi" w:cstheme="minorBidi"/>
                <w:bCs w:val="0"/>
                <w:iCs w:val="0"/>
                <w:noProof w:val="0"/>
              </w:rPr>
            </w:pPr>
          </w:p>
        </w:tc>
        <w:tc>
          <w:tcPr>
            <w:tcW w:w="1971" w:type="dxa"/>
          </w:tcPr>
          <w:p w:rsidR="0032488C" w:rsidRDefault="0032488C" w:rsidP="0032488C">
            <w:pPr>
              <w:rPr>
                <w:bCs/>
                <w:i/>
                <w:iCs/>
              </w:rPr>
            </w:pPr>
          </w:p>
        </w:tc>
      </w:tr>
    </w:tbl>
    <w:p w:rsidR="00D77D8E" w:rsidRDefault="00D77D8E" w:rsidP="005A7B74"/>
    <w:p w:rsidR="00237A4B" w:rsidRDefault="00237A4B" w:rsidP="005A7B74"/>
    <w:p w:rsidR="00D77D8E" w:rsidRDefault="00D77D8E" w:rsidP="005A7B74">
      <w:r>
        <w:t xml:space="preserve">Дополнение </w:t>
      </w:r>
    </w:p>
    <w:tbl>
      <w:tblPr>
        <w:tblW w:w="9060" w:type="dxa"/>
        <w:tblLook w:val="04A0" w:firstRow="1" w:lastRow="0" w:firstColumn="1" w:lastColumn="0" w:noHBand="0" w:noVBand="1"/>
      </w:tblPr>
      <w:tblGrid>
        <w:gridCol w:w="3140"/>
        <w:gridCol w:w="2340"/>
        <w:gridCol w:w="1320"/>
        <w:gridCol w:w="1415"/>
        <w:gridCol w:w="845"/>
      </w:tblGrid>
      <w:tr w:rsidR="00886F2B" w:rsidRPr="00886F2B" w:rsidTr="00886F2B">
        <w:trPr>
          <w:trHeight w:val="25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F2B" w:rsidRPr="00886F2B" w:rsidRDefault="00886F2B" w:rsidP="008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F2B" w:rsidRPr="00886F2B" w:rsidRDefault="00886F2B" w:rsidP="008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F2B" w:rsidRPr="00886F2B" w:rsidRDefault="00886F2B" w:rsidP="0088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F2B" w:rsidRDefault="00886F2B" w:rsidP="00D77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86F2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Таблица </w:t>
            </w:r>
            <w:r w:rsidR="00D77D8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</w:t>
            </w:r>
          </w:p>
          <w:p w:rsidR="00D77D8E" w:rsidRPr="00886F2B" w:rsidRDefault="00D77D8E" w:rsidP="00D77D8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86F2B" w:rsidRPr="00886F2B" w:rsidTr="00886F2B">
        <w:trPr>
          <w:trHeight w:val="255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2B" w:rsidRPr="00886F2B" w:rsidRDefault="00886F2B" w:rsidP="00886F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86F2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2B" w:rsidRPr="00886F2B" w:rsidRDefault="00886F2B" w:rsidP="00886F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86F2B" w:rsidRPr="00886F2B" w:rsidTr="00D77D8E">
        <w:trPr>
          <w:trHeight w:val="255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86F2B" w:rsidRPr="00886F2B" w:rsidTr="00D77D8E">
        <w:trPr>
          <w:trHeight w:val="25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86F2B" w:rsidRPr="00886F2B" w:rsidTr="00D77D8E">
        <w:trPr>
          <w:trHeight w:val="51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86F2B" w:rsidRPr="00886F2B" w:rsidTr="00D77D8E">
        <w:trPr>
          <w:trHeight w:val="25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86F2B" w:rsidRPr="00886F2B" w:rsidTr="00D77D8E">
        <w:trPr>
          <w:trHeight w:val="25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2B" w:rsidRPr="00886F2B" w:rsidRDefault="00886F2B" w:rsidP="00886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86F2B" w:rsidRDefault="00886F2B" w:rsidP="005A7B74"/>
    <w:p w:rsidR="008D29F3" w:rsidRDefault="008D29F3" w:rsidP="005B2DCD">
      <w:pPr>
        <w:spacing w:after="0" w:line="240" w:lineRule="auto"/>
      </w:pPr>
    </w:p>
    <w:p w:rsidR="008D29F3" w:rsidRDefault="008D29F3" w:rsidP="005A7B74"/>
    <w:sectPr w:rsidR="008D29F3" w:rsidSect="00737FE2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B761CB8"/>
    <w:lvl w:ilvl="0">
      <w:start w:val="1"/>
      <w:numFmt w:val="decimal"/>
      <w:pStyle w:val="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02465E7E"/>
    <w:multiLevelType w:val="hybridMultilevel"/>
    <w:tmpl w:val="8876B0A2"/>
    <w:lvl w:ilvl="0" w:tplc="15BC0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D">
      <w:start w:val="1"/>
      <w:numFmt w:val="bullet"/>
      <w:lvlText w:val=""/>
      <w:lvlJc w:val="left"/>
      <w:pPr>
        <w:ind w:left="2160" w:hanging="108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12056"/>
    <w:multiLevelType w:val="hybridMultilevel"/>
    <w:tmpl w:val="98D46326"/>
    <w:lvl w:ilvl="0" w:tplc="15BC0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E58C8E4">
      <w:numFmt w:val="bullet"/>
      <w:lvlText w:val="•"/>
      <w:lvlJc w:val="left"/>
      <w:pPr>
        <w:ind w:left="2160" w:hanging="1080"/>
      </w:pPr>
      <w:rPr>
        <w:rFonts w:asciiTheme="minorHAnsi" w:eastAsiaTheme="minorHAnsi" w:hAnsiTheme="minorHAnsi" w:cstheme="minorBid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D1B78"/>
    <w:multiLevelType w:val="hybridMultilevel"/>
    <w:tmpl w:val="E490F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66D68"/>
    <w:multiLevelType w:val="hybridMultilevel"/>
    <w:tmpl w:val="98D46326"/>
    <w:lvl w:ilvl="0" w:tplc="15BC0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E58C8E4">
      <w:numFmt w:val="bullet"/>
      <w:lvlText w:val="•"/>
      <w:lvlJc w:val="left"/>
      <w:pPr>
        <w:ind w:left="2160" w:hanging="1080"/>
      </w:pPr>
      <w:rPr>
        <w:rFonts w:asciiTheme="minorHAnsi" w:eastAsiaTheme="minorHAnsi" w:hAnsiTheme="minorHAnsi" w:cstheme="minorBid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A741A"/>
    <w:multiLevelType w:val="multilevel"/>
    <w:tmpl w:val="1FC2A7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89219F4"/>
    <w:multiLevelType w:val="multilevel"/>
    <w:tmpl w:val="78024BD0"/>
    <w:lvl w:ilvl="0">
      <w:start w:val="1"/>
      <w:numFmt w:val="decimal"/>
      <w:pStyle w:val="1"/>
      <w:lvlText w:val="Часть %1."/>
      <w:lvlJc w:val="left"/>
      <w:pPr>
        <w:ind w:left="4962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suff w:val="space"/>
      <w:lvlText w:val="%1.%2."/>
      <w:lvlJc w:val="center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."/>
      <w:lvlJc w:val="center"/>
      <w:pPr>
        <w:ind w:left="10632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1"/>
      <w:suff w:val="space"/>
      <w:lvlText w:val="Рис. %1.%4."/>
      <w:lvlJc w:val="center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Restart w:val="1"/>
      <w:suff w:val="space"/>
      <w:lvlText w:val="Таблица %1.%5."/>
      <w:lvlJc w:val="left"/>
      <w:pPr>
        <w:ind w:left="85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Restart w:val="3"/>
      <w:pStyle w:val="4"/>
      <w:suff w:val="space"/>
      <w:lvlText w:val="%1.%2.%3.%6."/>
      <w:lvlJc w:val="center"/>
      <w:pPr>
        <w:ind w:left="0" w:firstLine="0"/>
      </w:pPr>
      <w:rPr>
        <w:rFonts w:ascii="Arial" w:hAnsi="Arial" w:cs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97E0B6E"/>
    <w:multiLevelType w:val="hybridMultilevel"/>
    <w:tmpl w:val="98D46326"/>
    <w:lvl w:ilvl="0" w:tplc="15BC0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E58C8E4">
      <w:numFmt w:val="bullet"/>
      <w:lvlText w:val="•"/>
      <w:lvlJc w:val="left"/>
      <w:pPr>
        <w:ind w:left="2160" w:hanging="1080"/>
      </w:pPr>
      <w:rPr>
        <w:rFonts w:asciiTheme="minorHAnsi" w:eastAsiaTheme="minorHAnsi" w:hAnsiTheme="minorHAnsi" w:cstheme="minorBid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62CAB"/>
    <w:multiLevelType w:val="hybridMultilevel"/>
    <w:tmpl w:val="8E7A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E4BB1"/>
    <w:multiLevelType w:val="hybridMultilevel"/>
    <w:tmpl w:val="98D46326"/>
    <w:lvl w:ilvl="0" w:tplc="15BC0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E58C8E4">
      <w:numFmt w:val="bullet"/>
      <w:lvlText w:val="•"/>
      <w:lvlJc w:val="left"/>
      <w:pPr>
        <w:ind w:left="2160" w:hanging="1080"/>
      </w:pPr>
      <w:rPr>
        <w:rFonts w:asciiTheme="minorHAnsi" w:eastAsiaTheme="minorHAnsi" w:hAnsiTheme="minorHAnsi" w:cstheme="minorBid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3D6E18"/>
    <w:multiLevelType w:val="hybridMultilevel"/>
    <w:tmpl w:val="E8F0BD08"/>
    <w:lvl w:ilvl="0" w:tplc="C938E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6"/>
  </w:num>
  <w:num w:numId="9">
    <w:abstractNumId w:val="6"/>
  </w:num>
  <w:num w:numId="10">
    <w:abstractNumId w:val="6"/>
  </w:num>
  <w:num w:numId="11">
    <w:abstractNumId w:val="8"/>
  </w:num>
  <w:num w:numId="12">
    <w:abstractNumId w:val="10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74"/>
    <w:rsid w:val="000033B7"/>
    <w:rsid w:val="0007587A"/>
    <w:rsid w:val="00091A51"/>
    <w:rsid w:val="000927C9"/>
    <w:rsid w:val="000B590A"/>
    <w:rsid w:val="000B6E56"/>
    <w:rsid w:val="000C17FA"/>
    <w:rsid w:val="000E2608"/>
    <w:rsid w:val="000F419F"/>
    <w:rsid w:val="0010670B"/>
    <w:rsid w:val="00113BDF"/>
    <w:rsid w:val="00142055"/>
    <w:rsid w:val="00142FCB"/>
    <w:rsid w:val="001509B1"/>
    <w:rsid w:val="00165183"/>
    <w:rsid w:val="00167A57"/>
    <w:rsid w:val="00193FD4"/>
    <w:rsid w:val="001A35D6"/>
    <w:rsid w:val="001A4C69"/>
    <w:rsid w:val="001D6A75"/>
    <w:rsid w:val="001E4DE3"/>
    <w:rsid w:val="001F75E8"/>
    <w:rsid w:val="0021355F"/>
    <w:rsid w:val="00224744"/>
    <w:rsid w:val="002260BE"/>
    <w:rsid w:val="002300B7"/>
    <w:rsid w:val="00231535"/>
    <w:rsid w:val="00233D86"/>
    <w:rsid w:val="00237A4B"/>
    <w:rsid w:val="00246F63"/>
    <w:rsid w:val="00250FF4"/>
    <w:rsid w:val="00255F6A"/>
    <w:rsid w:val="00267E8B"/>
    <w:rsid w:val="00273A65"/>
    <w:rsid w:val="00280FF1"/>
    <w:rsid w:val="00282298"/>
    <w:rsid w:val="00282A0F"/>
    <w:rsid w:val="00294FCC"/>
    <w:rsid w:val="002A20CD"/>
    <w:rsid w:val="002D057E"/>
    <w:rsid w:val="002D3446"/>
    <w:rsid w:val="002E61C4"/>
    <w:rsid w:val="00303163"/>
    <w:rsid w:val="00306E32"/>
    <w:rsid w:val="00315533"/>
    <w:rsid w:val="0032488C"/>
    <w:rsid w:val="0033034C"/>
    <w:rsid w:val="003315CE"/>
    <w:rsid w:val="003358E9"/>
    <w:rsid w:val="00340EAD"/>
    <w:rsid w:val="003559CD"/>
    <w:rsid w:val="00371BB4"/>
    <w:rsid w:val="003C76D0"/>
    <w:rsid w:val="003F2136"/>
    <w:rsid w:val="004077EF"/>
    <w:rsid w:val="00415360"/>
    <w:rsid w:val="004169D6"/>
    <w:rsid w:val="0041745D"/>
    <w:rsid w:val="00432FBD"/>
    <w:rsid w:val="00433B7C"/>
    <w:rsid w:val="0046036B"/>
    <w:rsid w:val="00471294"/>
    <w:rsid w:val="00474069"/>
    <w:rsid w:val="004A110F"/>
    <w:rsid w:val="004B708B"/>
    <w:rsid w:val="004D61C3"/>
    <w:rsid w:val="004F6FD5"/>
    <w:rsid w:val="0050371C"/>
    <w:rsid w:val="00506263"/>
    <w:rsid w:val="005234D2"/>
    <w:rsid w:val="0053032E"/>
    <w:rsid w:val="005377B8"/>
    <w:rsid w:val="0054055B"/>
    <w:rsid w:val="00564850"/>
    <w:rsid w:val="0056728E"/>
    <w:rsid w:val="00587FA7"/>
    <w:rsid w:val="005A25A0"/>
    <w:rsid w:val="005A7B74"/>
    <w:rsid w:val="005B2DCD"/>
    <w:rsid w:val="005C6871"/>
    <w:rsid w:val="005D732D"/>
    <w:rsid w:val="00611FB8"/>
    <w:rsid w:val="00622226"/>
    <w:rsid w:val="006460CE"/>
    <w:rsid w:val="00655D86"/>
    <w:rsid w:val="006602BC"/>
    <w:rsid w:val="00661BAB"/>
    <w:rsid w:val="0067007A"/>
    <w:rsid w:val="006808FB"/>
    <w:rsid w:val="006959B4"/>
    <w:rsid w:val="006A2E4C"/>
    <w:rsid w:val="006B2590"/>
    <w:rsid w:val="006C380B"/>
    <w:rsid w:val="006D0D2F"/>
    <w:rsid w:val="006E048A"/>
    <w:rsid w:val="006E7CF3"/>
    <w:rsid w:val="00715193"/>
    <w:rsid w:val="007338C9"/>
    <w:rsid w:val="00737FE2"/>
    <w:rsid w:val="00742AB7"/>
    <w:rsid w:val="007D2F1D"/>
    <w:rsid w:val="007F6CED"/>
    <w:rsid w:val="00801E7F"/>
    <w:rsid w:val="00827738"/>
    <w:rsid w:val="008743A4"/>
    <w:rsid w:val="0088401C"/>
    <w:rsid w:val="00886651"/>
    <w:rsid w:val="00886F2B"/>
    <w:rsid w:val="0089226B"/>
    <w:rsid w:val="00893CD3"/>
    <w:rsid w:val="008949AE"/>
    <w:rsid w:val="008A3760"/>
    <w:rsid w:val="008C4DCE"/>
    <w:rsid w:val="008D29F3"/>
    <w:rsid w:val="00900427"/>
    <w:rsid w:val="009227E8"/>
    <w:rsid w:val="009256A7"/>
    <w:rsid w:val="0092767E"/>
    <w:rsid w:val="0095263D"/>
    <w:rsid w:val="00952BFD"/>
    <w:rsid w:val="00957302"/>
    <w:rsid w:val="00975451"/>
    <w:rsid w:val="00994C3B"/>
    <w:rsid w:val="009A5258"/>
    <w:rsid w:val="009A78C2"/>
    <w:rsid w:val="009B3AD8"/>
    <w:rsid w:val="009C484D"/>
    <w:rsid w:val="009D7D6D"/>
    <w:rsid w:val="009F0491"/>
    <w:rsid w:val="009F57F4"/>
    <w:rsid w:val="009F7593"/>
    <w:rsid w:val="00A46967"/>
    <w:rsid w:val="00A76344"/>
    <w:rsid w:val="00A93F46"/>
    <w:rsid w:val="00A94F77"/>
    <w:rsid w:val="00AA3ACE"/>
    <w:rsid w:val="00AD137B"/>
    <w:rsid w:val="00AD21DE"/>
    <w:rsid w:val="00AD262C"/>
    <w:rsid w:val="00AE42CE"/>
    <w:rsid w:val="00AF4BCF"/>
    <w:rsid w:val="00B02C67"/>
    <w:rsid w:val="00B45DC5"/>
    <w:rsid w:val="00B4702B"/>
    <w:rsid w:val="00B60B44"/>
    <w:rsid w:val="00B8660A"/>
    <w:rsid w:val="00B914DC"/>
    <w:rsid w:val="00BD615E"/>
    <w:rsid w:val="00C3346F"/>
    <w:rsid w:val="00C82A22"/>
    <w:rsid w:val="00C87A8A"/>
    <w:rsid w:val="00CA4F62"/>
    <w:rsid w:val="00CB6160"/>
    <w:rsid w:val="00CC0F29"/>
    <w:rsid w:val="00CC3E48"/>
    <w:rsid w:val="00D170C8"/>
    <w:rsid w:val="00D5467B"/>
    <w:rsid w:val="00D747F7"/>
    <w:rsid w:val="00D77D8E"/>
    <w:rsid w:val="00DA43C4"/>
    <w:rsid w:val="00DB38FD"/>
    <w:rsid w:val="00DB4461"/>
    <w:rsid w:val="00DB617D"/>
    <w:rsid w:val="00DC0FA4"/>
    <w:rsid w:val="00DE16E7"/>
    <w:rsid w:val="00DE50C1"/>
    <w:rsid w:val="00DF6D18"/>
    <w:rsid w:val="00E02541"/>
    <w:rsid w:val="00E0612D"/>
    <w:rsid w:val="00E232AB"/>
    <w:rsid w:val="00E37E5D"/>
    <w:rsid w:val="00E85594"/>
    <w:rsid w:val="00E856B8"/>
    <w:rsid w:val="00EA274E"/>
    <w:rsid w:val="00EB1E36"/>
    <w:rsid w:val="00EC144D"/>
    <w:rsid w:val="00ED3C23"/>
    <w:rsid w:val="00EE03AD"/>
    <w:rsid w:val="00EE69C6"/>
    <w:rsid w:val="00F45E2D"/>
    <w:rsid w:val="00F906FE"/>
    <w:rsid w:val="00FB4CA6"/>
    <w:rsid w:val="00FC7B43"/>
    <w:rsid w:val="00FD51A9"/>
    <w:rsid w:val="00FD7540"/>
    <w:rsid w:val="00FF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1081"/>
  <w15:chartTrackingRefBased/>
  <w15:docId w15:val="{0F7D943A-7289-49FB-BC1D-8D55370C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32E"/>
  </w:style>
  <w:style w:type="paragraph" w:styleId="1">
    <w:name w:val="heading 1"/>
    <w:aliases w:val="Часть,новая страница,Document Header1,H1,T1,kapitola1,Заголовок параграфа (1.),111,Section,Section Heading,level2 hdg,Заголовок 1 Знак Знак Знак Знак Знак,Заголовок 1 Знак Знак Знак Знак Знак Знак Знак Знак,Название главы с нумерацией"/>
    <w:basedOn w:val="a0"/>
    <w:next w:val="a"/>
    <w:link w:val="10"/>
    <w:qFormat/>
    <w:rsid w:val="00CB6160"/>
    <w:pPr>
      <w:numPr>
        <w:numId w:val="6"/>
      </w:numPr>
      <w:spacing w:after="120" w:line="240" w:lineRule="auto"/>
      <w:ind w:left="0"/>
      <w:contextualSpacing w:val="0"/>
      <w:jc w:val="center"/>
      <w:outlineLvl w:val="0"/>
    </w:pPr>
    <w:rPr>
      <w:rFonts w:ascii="Arial" w:eastAsia="Times New Roman" w:hAnsi="Arial" w:cs="Arial"/>
      <w:b/>
      <w:sz w:val="28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2">
    <w:name w:val="heading 2"/>
    <w:aliases w:val="H2,H2 Знак,Заголовок 21,заголовок2,1. Заголовок 2,T2,2,kapitola2,Заголовок 1.1,h21,5,Заголовок пункта (1.1),222,Reset numbering,Загол. 2,Iia?acaae,Edf Titre 2,Подраздел,Заг 2,Подзаголовок 1 уровня,Заголовок 2 Знак Знак,Знак1 Знак Знак"/>
    <w:basedOn w:val="a"/>
    <w:next w:val="a"/>
    <w:link w:val="20"/>
    <w:qFormat/>
    <w:rsid w:val="00CB6160"/>
    <w:pPr>
      <w:numPr>
        <w:ilvl w:val="1"/>
        <w:numId w:val="6"/>
      </w:numPr>
      <w:spacing w:after="240" w:line="240" w:lineRule="auto"/>
      <w:jc w:val="center"/>
      <w:outlineLvl w:val="1"/>
    </w:pPr>
    <w:rPr>
      <w:rFonts w:ascii="Arial" w:eastAsia="Times New Roman" w:hAnsi="Arial" w:cs="Arial"/>
      <w:b/>
      <w:bCs/>
      <w:iCs/>
      <w:sz w:val="26"/>
      <w:szCs w:val="26"/>
    </w:rPr>
  </w:style>
  <w:style w:type="paragraph" w:styleId="3">
    <w:name w:val="heading 3"/>
    <w:aliases w:val="Tсевастополь2,kapitola3,T3,podclanek,Заголовок 3 Знак Знак Знак Знак Знак Знак Знак Знак Знак Знак Знак Знак Знак Знак Знак Знак Знак"/>
    <w:basedOn w:val="a"/>
    <w:next w:val="a"/>
    <w:link w:val="30"/>
    <w:qFormat/>
    <w:rsid w:val="00CB6160"/>
    <w:pPr>
      <w:numPr>
        <w:ilvl w:val="2"/>
        <w:numId w:val="6"/>
      </w:numPr>
      <w:spacing w:before="120" w:after="120" w:line="240" w:lineRule="auto"/>
      <w:ind w:left="0"/>
      <w:jc w:val="center"/>
      <w:outlineLvl w:val="2"/>
    </w:pPr>
    <w:rPr>
      <w:rFonts w:ascii="Arial" w:eastAsia="Calibri" w:hAnsi="Arial" w:cs="Arial"/>
      <w:b/>
      <w:bCs/>
      <w:sz w:val="24"/>
      <w:szCs w:val="24"/>
    </w:rPr>
  </w:style>
  <w:style w:type="paragraph" w:styleId="4">
    <w:name w:val="heading 4"/>
    <w:aliases w:val="Nadpis1.1.1.1"/>
    <w:basedOn w:val="a1"/>
    <w:next w:val="a"/>
    <w:link w:val="40"/>
    <w:qFormat/>
    <w:rsid w:val="00CB6160"/>
    <w:pPr>
      <w:numPr>
        <w:ilvl w:val="5"/>
        <w:numId w:val="6"/>
      </w:numPr>
      <w:spacing w:after="120" w:line="240" w:lineRule="auto"/>
      <w:jc w:val="center"/>
      <w:outlineLvl w:val="3"/>
    </w:pPr>
    <w:rPr>
      <w:b/>
      <w:sz w:val="23"/>
      <w:szCs w:val="23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5A7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D77D8E"/>
    <w:pPr>
      <w:ind w:left="720"/>
      <w:contextualSpacing/>
    </w:pPr>
  </w:style>
  <w:style w:type="paragraph" w:customStyle="1" w:styleId="a1">
    <w:name w:val="Текст документа"/>
    <w:basedOn w:val="11"/>
    <w:link w:val="a6"/>
    <w:uiPriority w:val="99"/>
    <w:qFormat/>
    <w:rsid w:val="004169D6"/>
    <w:pPr>
      <w:tabs>
        <w:tab w:val="right" w:leader="dot" w:pos="9627"/>
      </w:tabs>
      <w:spacing w:after="0" w:line="324" w:lineRule="auto"/>
      <w:ind w:firstLine="567"/>
      <w:jc w:val="both"/>
    </w:pPr>
    <w:rPr>
      <w:rFonts w:ascii="Arial" w:eastAsia="Times New Roman" w:hAnsi="Arial" w:cs="Arial"/>
      <w:bCs/>
      <w:iCs/>
      <w:noProof/>
    </w:rPr>
  </w:style>
  <w:style w:type="character" w:customStyle="1" w:styleId="a6">
    <w:name w:val="Текст документа Знак"/>
    <w:basedOn w:val="a2"/>
    <w:link w:val="a1"/>
    <w:uiPriority w:val="99"/>
    <w:locked/>
    <w:rsid w:val="004169D6"/>
    <w:rPr>
      <w:rFonts w:ascii="Arial" w:eastAsia="Times New Roman" w:hAnsi="Arial" w:cs="Arial"/>
      <w:bCs/>
      <w:iCs/>
      <w:noProof/>
    </w:rPr>
  </w:style>
  <w:style w:type="paragraph" w:styleId="11">
    <w:name w:val="toc 1"/>
    <w:basedOn w:val="a"/>
    <w:next w:val="a"/>
    <w:autoRedefine/>
    <w:uiPriority w:val="39"/>
    <w:semiHidden/>
    <w:unhideWhenUsed/>
    <w:rsid w:val="004169D6"/>
    <w:pPr>
      <w:spacing w:after="100"/>
    </w:pPr>
  </w:style>
  <w:style w:type="character" w:customStyle="1" w:styleId="10">
    <w:name w:val="Заголовок 1 Знак"/>
    <w:aliases w:val="Часть Знак,новая страница Знак,Document Header1 Знак,H1 Знак,T1 Знак,kapitola1 Знак,Заголовок параграфа (1.) Знак,111 Знак,Section Знак,Section Heading Знак,level2 hdg Знак,Заголовок 1 Знак Знак Знак Знак Знак Знак"/>
    <w:basedOn w:val="a2"/>
    <w:link w:val="1"/>
    <w:rsid w:val="00CB6160"/>
    <w:rPr>
      <w:rFonts w:ascii="Arial" w:eastAsia="Times New Roman" w:hAnsi="Arial" w:cs="Arial"/>
      <w:b/>
      <w:sz w:val="28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20">
    <w:name w:val="Заголовок 2 Знак"/>
    <w:aliases w:val="H2 Знак1,H2 Знак Знак,Заголовок 21 Знак,заголовок2 Знак,1. Заголовок 2 Знак,T2 Знак,2 Знак,kapitola2 Знак,Заголовок 1.1 Знак,h21 Знак,5 Знак,Заголовок пункта (1.1) Знак,222 Знак,Reset numbering Знак,Загол. 2 Знак,Iia?acaae Знак"/>
    <w:basedOn w:val="a2"/>
    <w:link w:val="2"/>
    <w:rsid w:val="00CB6160"/>
    <w:rPr>
      <w:rFonts w:ascii="Arial" w:eastAsia="Times New Roman" w:hAnsi="Arial" w:cs="Arial"/>
      <w:b/>
      <w:bCs/>
      <w:iCs/>
      <w:sz w:val="26"/>
      <w:szCs w:val="26"/>
    </w:rPr>
  </w:style>
  <w:style w:type="character" w:customStyle="1" w:styleId="30">
    <w:name w:val="Заголовок 3 Знак"/>
    <w:aliases w:val="Tсевастополь2 Знак,kapitola3 Знак,T3 Знак,podclanek Знак,Заголовок 3 Знак Знак Знак Знак Знак Знак Знак Знак Знак Знак Знак Знак Знак Знак Знак Знак Знак Знак"/>
    <w:basedOn w:val="a2"/>
    <w:link w:val="3"/>
    <w:rsid w:val="00CB6160"/>
    <w:rPr>
      <w:rFonts w:ascii="Arial" w:eastAsia="Calibri" w:hAnsi="Arial" w:cs="Arial"/>
      <w:b/>
      <w:bCs/>
      <w:sz w:val="24"/>
      <w:szCs w:val="24"/>
    </w:rPr>
  </w:style>
  <w:style w:type="character" w:customStyle="1" w:styleId="40">
    <w:name w:val="Заголовок 4 Знак"/>
    <w:aliases w:val="Nadpis1.1.1.1 Знак"/>
    <w:basedOn w:val="a2"/>
    <w:link w:val="4"/>
    <w:rsid w:val="00CB6160"/>
    <w:rPr>
      <w:rFonts w:ascii="Arial" w:eastAsia="Times New Roman" w:hAnsi="Arial" w:cs="Arial"/>
      <w:b/>
      <w:bCs/>
      <w:iCs/>
      <w:noProof/>
      <w:sz w:val="23"/>
      <w:szCs w:val="23"/>
    </w:rPr>
  </w:style>
  <w:style w:type="character" w:styleId="a7">
    <w:name w:val="Hyperlink"/>
    <w:basedOn w:val="a2"/>
    <w:uiPriority w:val="99"/>
    <w:unhideWhenUsed/>
    <w:rsid w:val="00CB6160"/>
    <w:rPr>
      <w:color w:val="0563C1" w:themeColor="hyperlink"/>
      <w:u w:val="single"/>
    </w:rPr>
  </w:style>
  <w:style w:type="paragraph" w:styleId="5">
    <w:name w:val="List Number 5"/>
    <w:basedOn w:val="a8"/>
    <w:uiPriority w:val="99"/>
    <w:rsid w:val="006602BC"/>
    <w:pPr>
      <w:widowControl w:val="0"/>
      <w:numPr>
        <w:numId w:val="7"/>
      </w:numPr>
      <w:tabs>
        <w:tab w:val="clear" w:pos="926"/>
      </w:tabs>
      <w:adjustRightInd w:val="0"/>
      <w:spacing w:before="120" w:after="120" w:line="240" w:lineRule="auto"/>
      <w:ind w:left="0" w:firstLine="0"/>
      <w:contextualSpacing w:val="0"/>
      <w:jc w:val="both"/>
      <w:textAlignment w:val="baseline"/>
    </w:pPr>
    <w:rPr>
      <w:rFonts w:ascii="Arial" w:eastAsia="Microsoft YaHei" w:hAnsi="Arial" w:cs="Times New Roman"/>
      <w:spacing w:val="-5"/>
    </w:rPr>
  </w:style>
  <w:style w:type="paragraph" w:styleId="a8">
    <w:name w:val="List Number"/>
    <w:basedOn w:val="a"/>
    <w:uiPriority w:val="99"/>
    <w:semiHidden/>
    <w:unhideWhenUsed/>
    <w:rsid w:val="006602BC"/>
    <w:pPr>
      <w:ind w:left="4962"/>
      <w:contextualSpacing/>
    </w:pPr>
  </w:style>
  <w:style w:type="character" w:customStyle="1" w:styleId="fontstyle01">
    <w:name w:val="fontstyle01"/>
    <w:basedOn w:val="a2"/>
    <w:rsid w:val="00737FE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3C7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 Галина Павловна</dc:creator>
  <cp:keywords/>
  <dc:description/>
  <cp:lastModifiedBy>Пасякин Дмитрий Николаевич</cp:lastModifiedBy>
  <cp:revision>23</cp:revision>
  <dcterms:created xsi:type="dcterms:W3CDTF">2024-05-23T13:15:00Z</dcterms:created>
  <dcterms:modified xsi:type="dcterms:W3CDTF">2024-06-10T07:43:00Z</dcterms:modified>
</cp:coreProperties>
</file>